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5E8037" w14:textId="77777777" w:rsidR="00B41714" w:rsidRPr="00BB3F90" w:rsidRDefault="00B41714" w:rsidP="00BB3F90">
      <w:pPr>
        <w:shd w:val="clear" w:color="auto" w:fill="FFFFFF"/>
        <w:spacing w:before="450" w:after="300" w:line="240" w:lineRule="auto"/>
        <w:jc w:val="both"/>
        <w:outlineLvl w:val="0"/>
        <w:rPr>
          <w:rFonts w:ascii="Verdana" w:eastAsia="Times New Roman" w:hAnsi="Verdana" w:cs="Arial"/>
          <w:b/>
          <w:bCs/>
          <w:color w:val="001356"/>
          <w:kern w:val="36"/>
          <w:sz w:val="28"/>
          <w:szCs w:val="28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001356"/>
          <w:kern w:val="36"/>
          <w:sz w:val="28"/>
          <w:szCs w:val="28"/>
          <w:lang w:eastAsia="hu-HU"/>
        </w:rPr>
        <w:t>Szűrővizsgálati összefoglaló nőknek</w:t>
      </w:r>
    </w:p>
    <w:p w14:paraId="6C6986F5" w14:textId="77777777" w:rsidR="00B41714" w:rsidRPr="00BB3F90" w:rsidRDefault="00B41714" w:rsidP="00BB3F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Módosítás: 2025. július 24</w:t>
      </w:r>
    </w:p>
    <w:p w14:paraId="276B6210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A megelőzés (prevenció) rendkívül fontos az egészségmegőrzés és a betegségek korai stádiumban való felismerése érdekében. A szűrővizsgálatokon való rendszeres részvétel számos olyan betegség felismerésében segítségül lehet, amelynek gyógyításában a felfedezés ideje meghatározó lehet a betegség kimenetelét tekintve.</w:t>
      </w:r>
    </w:p>
    <w:p w14:paraId="5D9DB96E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Nők esetében a legfontosabb szűrővizsgálatok az emlőszűrés, méhnyakszűrés, vastagbélszűrés, csontsűrűségmérés (ODM), bőrvizsgálat, laborvizsgálat, kardiológiai vizsgálat, tüdőszűrés és a szemészeti szűrővizsgálat. </w:t>
      </w:r>
    </w:p>
    <w:p w14:paraId="06DFA4F4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001356"/>
          <w:lang w:eastAsia="hu-HU"/>
        </w:rPr>
        <w:t>Emlőszűrés</w:t>
      </w:r>
    </w:p>
    <w:p w14:paraId="4CC7DF02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Az emlőket és a hónaljakat 20 éves kor felett havonta ajánlott áttapintani, évente egy alkalommal pedig jelenjünk meg nőgyógyászati szűrővizsgálaton. A </w:t>
      </w:r>
      <w:hyperlink r:id="rId5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mellrák 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megelőzését szolgáló emlőszűrést röntgennel (</w:t>
      </w:r>
      <w:hyperlink r:id="rId6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mammográfiával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) ajánlott végezni, az országosan szervezett szűrés keretében a 45–65 éves korosztályba tartozó hölgyek 2 évente kapnak meghívót szűrővizsgálatra. 20–45 éves kor közötti életkorban az emlő szűrővizsgálatát tapintással és </w:t>
      </w:r>
      <w:hyperlink r:id="rId7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ultrahanggal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javasolt végezni. </w:t>
      </w:r>
    </w:p>
    <w:p w14:paraId="2AC33CAD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001356"/>
          <w:lang w:eastAsia="hu-HU"/>
        </w:rPr>
        <w:t>Méhnyakszűrés</w:t>
      </w:r>
    </w:p>
    <w:p w14:paraId="1EFB705F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Az első nőgyógyászati vizsgálat egészséges nők esetében a nemi élet megkezdése után ajánlott, ahol a nemi szerveket a nőgyógyász manuálisan (kézzel) és műszerrel is megvizsgálja, valamint hüvelyi ultrahangot is végez. A </w:t>
      </w:r>
      <w:hyperlink r:id="rId8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méhnyakrák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szűrővizsgálata (citológia) a nemi élet megkezdésétől vagy 18 éves kortól évente ajánlott.</w:t>
      </w:r>
    </w:p>
    <w:p w14:paraId="2F12B6D8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Részletekért lásd még: </w:t>
      </w:r>
      <w:hyperlink r:id="rId9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Méhnyakszűrés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</w:t>
      </w:r>
    </w:p>
    <w:p w14:paraId="7BFD3722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 </w:t>
      </w:r>
      <w:hyperlink r:id="rId10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 xml:space="preserve">humán </w:t>
        </w:r>
        <w:proofErr w:type="spellStart"/>
        <w:r w:rsidRPr="00BB3F90">
          <w:rPr>
            <w:rFonts w:ascii="Verdana" w:eastAsia="Times New Roman" w:hAnsi="Verdana" w:cs="Arial"/>
            <w:color w:val="0345BF"/>
            <w:lang w:eastAsia="hu-HU"/>
          </w:rPr>
          <w:t>papillomavírus</w:t>
        </w:r>
        <w:proofErr w:type="spellEnd"/>
      </w:hyperlink>
      <w:r w:rsidRPr="00BB3F90">
        <w:rPr>
          <w:rFonts w:ascii="Verdana" w:eastAsia="Times New Roman" w:hAnsi="Verdana" w:cs="Arial"/>
          <w:color w:val="252525"/>
          <w:lang w:eastAsia="hu-HU"/>
        </w:rPr>
        <w:t> kimutatására szolgáló HPV-tipizálás elvégzésére akkor kerül sor, ha a citológiai lelet rendellenes sejteket ír le, amelyek felvetik rákmegelőző állapot gyanúját. </w:t>
      </w:r>
    </w:p>
    <w:p w14:paraId="3C391C2C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001356"/>
          <w:lang w:eastAsia="hu-HU"/>
        </w:rPr>
        <w:t>Vastagbélszűrés</w:t>
      </w:r>
    </w:p>
    <w:p w14:paraId="75FA9188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vastagbél daganatos megbetegedéseit az esetek nagy részében későn diagnosztizálják, mert nem okoznak tipikus, jól felismerhető panaszokat, pedig kialakulásuk korai felismeréssel megelőzhető.</w:t>
      </w:r>
    </w:p>
    <w:p w14:paraId="28AE0E89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 vastagbélrák szűrése 40 éves kortól javasolt azoknak, akiknek a családjában már előfordult béldaganat, illetve akiknél korábban vastagbélpolipot vagy vastagbélgyulladást diagnosztizáltak. 50 év felett mindenkinek ajánlott kétéves rendszerességgel a </w:t>
      </w:r>
      <w:hyperlink r:id="rId11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vastagbélszűrés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 mert a vastagbéldaganatos esetek száma 50 éves kor felett ugrásszerűen megnő.</w:t>
      </w:r>
    </w:p>
    <w:p w14:paraId="387068A0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lastRenderedPageBreak/>
        <w:t xml:space="preserve">A szűrővizsgálat kétlépcsős: először a széklet rejtettvér-tartalmát ellenőrzik laboratóriumban általában 3 különböző mintában. A kezelőorvos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rektális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digitális vizsgálatot is végezhet, hiszen a vastagbéldaganatok jelentős hányada a végbélben helyezkedik el.</w:t>
      </w:r>
    </w:p>
    <w:p w14:paraId="4B6A8735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 xml:space="preserve">Amennyiben a székletvérvizsgálat eredménye vagy a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rektális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vizsgálat eredménye pozitív, az orvos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gasztroenterológushoz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küldi a pácienst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kolonoszkópos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vizsgálatra (</w:t>
      </w:r>
      <w:hyperlink r:id="rId12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vastagbéltükrözés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). A vizsgálat során az orvos vékony száloptikás eszközt vezet a végbélen át a vastagbélbe, amely segítségével áttekinthető a végbél és a vastagbél fala.</w:t>
      </w:r>
    </w:p>
    <w:p w14:paraId="50D1E83A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vastagbéldaganatok többsége úgynevezett vastagbélpolipokból alakul ki, amelyek a tükrözés során fájdalommentesen eltávolíthatók.</w:t>
      </w:r>
    </w:p>
    <w:p w14:paraId="1FC6C919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vizsgálat része lehet még a CT-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kolonoszkópia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is, amely egy hasi és kismedencei </w:t>
      </w:r>
      <w:hyperlink r:id="rId13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CT-vizsgálat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is.</w:t>
      </w:r>
    </w:p>
    <w:p w14:paraId="281D7743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001356"/>
          <w:lang w:eastAsia="hu-HU"/>
        </w:rPr>
        <w:t>Csontsűrűségmérés</w:t>
      </w:r>
    </w:p>
    <w:p w14:paraId="0D74FB24" w14:textId="436C691A" w:rsidR="00B41714" w:rsidRPr="00BB3F90" w:rsidRDefault="00000000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14" w:tgtFrame="_blank" w:history="1">
        <w:r w:rsidR="00B41714" w:rsidRPr="00BB3F90">
          <w:rPr>
            <w:rFonts w:ascii="Verdana" w:eastAsia="Times New Roman" w:hAnsi="Verdana" w:cs="Arial"/>
            <w:color w:val="0345BF"/>
            <w:lang w:eastAsia="hu-HU"/>
          </w:rPr>
          <w:t>Csontsűrűségmérés</w:t>
        </w:r>
      </w:hyperlink>
      <w:r w:rsidR="00BB3F90">
        <w:rPr>
          <w:rFonts w:ascii="Verdana" w:eastAsia="Times New Roman" w:hAnsi="Verdana" w:cs="Arial"/>
          <w:color w:val="0345BF"/>
          <w:lang w:eastAsia="hu-HU"/>
        </w:rPr>
        <w:t xml:space="preserve"> </w:t>
      </w:r>
      <w:r w:rsidR="00B41714" w:rsidRPr="00BB3F90">
        <w:rPr>
          <w:rFonts w:ascii="Verdana" w:eastAsia="Times New Roman" w:hAnsi="Verdana" w:cs="Arial"/>
          <w:color w:val="252525"/>
          <w:lang w:eastAsia="hu-HU"/>
        </w:rPr>
        <w:t>(</w:t>
      </w:r>
      <w:proofErr w:type="spellStart"/>
      <w:r w:rsidR="00B41714" w:rsidRPr="00BB3F90">
        <w:rPr>
          <w:rFonts w:ascii="Verdana" w:eastAsia="Times New Roman" w:hAnsi="Verdana" w:cs="Arial"/>
          <w:color w:val="252525"/>
          <w:lang w:eastAsia="hu-HU"/>
        </w:rPr>
        <w:t>oszteodenzitometria</w:t>
      </w:r>
      <w:proofErr w:type="spellEnd"/>
      <w:r w:rsidR="00B41714" w:rsidRPr="00BB3F90">
        <w:rPr>
          <w:rFonts w:ascii="Verdana" w:eastAsia="Times New Roman" w:hAnsi="Verdana" w:cs="Arial"/>
          <w:color w:val="252525"/>
          <w:lang w:eastAsia="hu-HU"/>
        </w:rPr>
        <w:t xml:space="preserve"> – ODM) a csontok ásványianyag-tartalmának mérésére szolgál. A csontveszteség mindkét nemnél az 50-es éveikben kezdődik, de a nőknél gyorsabb ütemű a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15" w:tgtFrame="_blank" w:history="1">
        <w:r w:rsidR="00B41714" w:rsidRPr="00BB3F90">
          <w:rPr>
            <w:rFonts w:ascii="Verdana" w:eastAsia="Times New Roman" w:hAnsi="Verdana" w:cs="Arial"/>
            <w:color w:val="0345BF"/>
            <w:lang w:eastAsia="hu-HU"/>
          </w:rPr>
          <w:t>változókori</w:t>
        </w:r>
      </w:hyperlink>
      <w:r w:rsidR="00B41714" w:rsidRPr="00BB3F90">
        <w:rPr>
          <w:rFonts w:ascii="Verdana" w:eastAsia="Times New Roman" w:hAnsi="Verdana" w:cs="Arial"/>
          <w:color w:val="252525"/>
          <w:lang w:eastAsia="hu-HU"/>
        </w:rPr>
        <w:t> hormonszintváltozás miatt.</w:t>
      </w:r>
    </w:p>
    <w:p w14:paraId="5BD35796" w14:textId="2F352100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vizsgálat elvégzése – és kétévenkénti (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esetenként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háromévenkénti) ismétlése – javasolt a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16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csontritkulás</w:t>
        </w:r>
      </w:hyperlink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r w:rsidRPr="00BB3F90">
        <w:rPr>
          <w:rFonts w:ascii="Verdana" w:eastAsia="Times New Roman" w:hAnsi="Verdana" w:cs="Arial"/>
          <w:color w:val="252525"/>
          <w:lang w:eastAsia="hu-HU"/>
        </w:rPr>
        <w:t xml:space="preserve">gyanúja esetén, valamint az 50 év feletti nőknek, illetve mindazoknak, akiknél fennállnak a csontritkulás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rizikófaktorai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>: alacsony kalciumbevitel,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17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dohányzás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 túlzott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18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feketekávé-fogyasztás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 mozgásszegény életmód, hormonális problémák, genetikai hajlam, vékony, magas testalkat,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19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cukorbetegség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 máj- vagy vesebetegség, csontritkulást okozó gyógyszerek szedése.</w:t>
      </w:r>
    </w:p>
    <w:p w14:paraId="55D40895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001356"/>
          <w:lang w:eastAsia="hu-HU"/>
        </w:rPr>
        <w:t>Bőrvizsgálat</w:t>
      </w:r>
    </w:p>
    <w:p w14:paraId="425A15F8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Az utóbbi időszakban sokszorosára növekedett a </w:t>
      </w:r>
      <w:hyperlink r:id="rId20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bőrdaganatok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gyakorisága. Az egyik legrosszindulatúbb daganatos betegség a 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fldChar w:fldCharType="begin"/>
      </w:r>
      <w:r w:rsidRPr="00BB3F90">
        <w:rPr>
          <w:rFonts w:ascii="Verdana" w:eastAsia="Times New Roman" w:hAnsi="Verdana" w:cs="Arial"/>
          <w:color w:val="252525"/>
          <w:lang w:eastAsia="hu-HU"/>
        </w:rPr>
        <w:instrText xml:space="preserve"> HYPERLINK "https://egeszsegvonal.gov.hu/gyogyszerek-a-z/m/melanoma-malignum.html" \t "_blank" </w:instrText>
      </w:r>
      <w:r w:rsidRPr="00BB3F90">
        <w:rPr>
          <w:rFonts w:ascii="Verdana" w:eastAsia="Times New Roman" w:hAnsi="Verdana" w:cs="Arial"/>
          <w:color w:val="252525"/>
          <w:lang w:eastAsia="hu-HU"/>
        </w:rPr>
      </w:r>
      <w:r w:rsidRPr="00BB3F90">
        <w:rPr>
          <w:rFonts w:ascii="Verdana" w:eastAsia="Times New Roman" w:hAnsi="Verdana" w:cs="Arial"/>
          <w:color w:val="252525"/>
          <w:lang w:eastAsia="hu-HU"/>
        </w:rPr>
        <w:fldChar w:fldCharType="separate"/>
      </w:r>
      <w:r w:rsidRPr="00BB3F90">
        <w:rPr>
          <w:rFonts w:ascii="Verdana" w:eastAsia="Times New Roman" w:hAnsi="Verdana" w:cs="Arial"/>
          <w:color w:val="0345BF"/>
          <w:lang w:eastAsia="hu-HU"/>
        </w:rPr>
        <w:t>melanoma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fldChar w:fldCharType="end"/>
      </w:r>
      <w:r w:rsidRPr="00BB3F90">
        <w:rPr>
          <w:rFonts w:ascii="Verdana" w:eastAsia="Times New Roman" w:hAnsi="Verdana" w:cs="Arial"/>
          <w:color w:val="252525"/>
          <w:lang w:eastAsia="hu-HU"/>
        </w:rPr>
        <w:t>, amelynek kialakulásában – a világos bőr és hajszín mellett – a bőrön jelentkező nagy mennyiségű </w:t>
      </w:r>
      <w:hyperlink r:id="rId21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anyajegy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 xml:space="preserve"> is rizikófaktort jelent. A rendszeres orvosi anyajegyvizsgálat és önvizsgálat lényegesen megnöveli a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melanoma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és más rosszindulatú elváltozások időben történő felismerését, ami nagy esélyt jelent a gyógyulásra.</w:t>
      </w:r>
    </w:p>
    <w:p w14:paraId="15099CC5" w14:textId="1A52EFB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Az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r w:rsidRPr="00BB3F90">
        <w:rPr>
          <w:rFonts w:ascii="Verdana" w:eastAsia="Times New Roman" w:hAnsi="Verdana" w:cs="Arial"/>
          <w:color w:val="252525"/>
          <w:lang w:eastAsia="hu-HU"/>
        </w:rPr>
        <w:t>anyajegyeket javasolt évente egyszer bőrgyógyásszal megvizsgáltatni (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dermatoszkópos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szűrővizsgálat); nagyszámú anyajegy esetén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félévente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; az önvizsgálatuk pedig havi rendszerességgel ajánlott. Az anyajegy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színbeli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, méretbeli vagy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alakbeli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változása esetén azonnali bőrgyógyászati vizsgálat szükséges.</w:t>
      </w:r>
    </w:p>
    <w:p w14:paraId="2CCFE498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Az ABCDE angol betűmozaik az önvizsgálat alapjait tartalmazza:</w:t>
      </w:r>
    </w:p>
    <w:p w14:paraId="3E816972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A: 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asymmetry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– aszimmetria; szabálytalan alakot jelent.</w:t>
      </w:r>
    </w:p>
    <w:p w14:paraId="05B7062C" w14:textId="7AC2FC78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lastRenderedPageBreak/>
        <w:t>B:</w:t>
      </w:r>
      <w:r w:rsidRP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border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– határ; a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melanomának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a jóindulatú elváltozások egy részével szemben elmosódott, szabálytalan határai lehetnek.</w:t>
      </w:r>
    </w:p>
    <w:p w14:paraId="59746B99" w14:textId="68FDB86D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C: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color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– szín; a terület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pigmentáltsága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>, a bőrdaganatok többféle pigmentet tartalmazhatnak.</w:t>
      </w:r>
    </w:p>
    <w:p w14:paraId="6250AD76" w14:textId="526E7D78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D: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diameter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– átmérő; aggodalomra adhat okot, ha az anyajegy 6 mm-nél nagyobb.</w:t>
      </w:r>
    </w:p>
    <w:p w14:paraId="4C1B82C0" w14:textId="73D04F24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E:</w:t>
      </w:r>
      <w:r w:rsidRP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evolving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 xml:space="preserve"> – kialakulás, fejlődés; ha az anyajegy változik, növekszik, a felszíne érdessé, szárazzá válik, viszketni, esetleg vérezni kezd, orvoshoz kell fordulni.</w:t>
      </w:r>
    </w:p>
    <w:p w14:paraId="5673D564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bőrdaganatok megelőzése érdekében 50 faktoros naptejjel ajánlott védekezni a nap káros UV-sugarai ellen, és kiemelten fontos a leégés elkerülése.</w:t>
      </w:r>
    </w:p>
    <w:p w14:paraId="34CE4EC5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(Lásd még: </w:t>
      </w:r>
      <w:hyperlink r:id="rId22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Napégés és fényvédelem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)</w:t>
      </w:r>
    </w:p>
    <w:p w14:paraId="69B0B58E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b/>
          <w:bCs/>
          <w:color w:val="001356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001356"/>
          <w:lang w:eastAsia="hu-HU"/>
        </w:rPr>
        <w:t>Laborvizsgálat</w:t>
      </w:r>
    </w:p>
    <w:p w14:paraId="3B31E832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Általában évente egyszer javasolt rutin </w:t>
      </w:r>
      <w:hyperlink r:id="rId23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vér-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és </w:t>
      </w:r>
      <w:hyperlink r:id="rId24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vizeletvizsgálatot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végeztetni, de különböző betegségek fennállása esetén gyakoribb laborvizsgálatra is szükség lehet. </w:t>
      </w:r>
    </w:p>
    <w:p w14:paraId="04A59751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háziorvos a kapott eredmények alapján ítéli meg, hogy szükség van-e további szakorvosi vizsgálatokra, esetleg gyógyszeres kezelésre.</w:t>
      </w:r>
    </w:p>
    <w:p w14:paraId="5FAAA709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BB3F90">
        <w:rPr>
          <w:rFonts w:ascii="Verdana" w:eastAsia="Times New Roman" w:hAnsi="Verdana" w:cs="Arial"/>
          <w:color w:val="001356"/>
          <w:lang w:eastAsia="hu-HU"/>
        </w:rPr>
        <w:t>Kardiológiai vizsgálat</w:t>
      </w:r>
    </w:p>
    <w:p w14:paraId="30D6EF58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szív- és érrendszeri betegségek gyakorisága a 40 év felettiek körében jelentősen emelkedik, ezért fontos a </w:t>
      </w:r>
      <w:hyperlink r:id="rId25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szívműködés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zavarainak feltérképezése szűrővizsgálattal. Az orvos összetett rizikófelmérést végez, és a kockázati tényezők figyelembevételével (</w:t>
      </w:r>
      <w:hyperlink r:id="rId26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elhízás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 </w:t>
      </w:r>
      <w:hyperlink r:id="rId27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dohányzás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 </w:t>
      </w:r>
      <w:hyperlink r:id="rId28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magas vérnyomás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 </w:t>
      </w:r>
      <w:hyperlink r:id="rId29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magas koleszterinszint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 </w:t>
      </w:r>
      <w:hyperlink r:id="rId30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ülő életmód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stb.).</w:t>
      </w:r>
    </w:p>
    <w:p w14:paraId="40A8CC19" w14:textId="5194C2B8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vizsgálatokat egyéb vizsgálattal egészítheti ki –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31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EKG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 xml:space="preserve">, </w:t>
      </w:r>
      <w:proofErr w:type="spellStart"/>
      <w:r w:rsidRPr="00BB3F90">
        <w:rPr>
          <w:rFonts w:ascii="Verdana" w:eastAsia="Times New Roman" w:hAnsi="Verdana" w:cs="Arial"/>
          <w:color w:val="252525"/>
          <w:lang w:eastAsia="hu-HU"/>
        </w:rPr>
        <w:t>Holter</w:t>
      </w:r>
      <w:proofErr w:type="spellEnd"/>
      <w:r w:rsidRPr="00BB3F90">
        <w:rPr>
          <w:rFonts w:ascii="Verdana" w:eastAsia="Times New Roman" w:hAnsi="Verdana" w:cs="Arial"/>
          <w:color w:val="252525"/>
          <w:lang w:eastAsia="hu-HU"/>
        </w:rPr>
        <w:t>-EKG, ABPM-vizsgálatok –, illetve szükség esetén a háziorvos kardiológus szakorvoshoz irányíthatja a beteget.</w:t>
      </w:r>
    </w:p>
    <w:p w14:paraId="26AABFB6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BB3F90">
        <w:rPr>
          <w:rFonts w:ascii="Verdana" w:eastAsia="Times New Roman" w:hAnsi="Verdana" w:cs="Arial"/>
          <w:color w:val="001356"/>
          <w:lang w:eastAsia="hu-HU"/>
        </w:rPr>
        <w:t>Tüdőszűrés</w:t>
      </w:r>
    </w:p>
    <w:p w14:paraId="7F8980C8" w14:textId="52479D4D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32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tüdőszűrő vizsgálat</w:t>
        </w:r>
      </w:hyperlink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r w:rsidRPr="00BB3F90">
        <w:rPr>
          <w:rFonts w:ascii="Verdana" w:eastAsia="Times New Roman" w:hAnsi="Verdana" w:cs="Arial"/>
          <w:color w:val="252525"/>
          <w:lang w:eastAsia="hu-HU"/>
        </w:rPr>
        <w:t>fiatalabb életkorban 3-5 évente, 40 év felett évente javasolt a</w:t>
      </w:r>
      <w:r w:rsidR="00BB3F90">
        <w:rPr>
          <w:rFonts w:ascii="Verdana" w:eastAsia="Times New Roman" w:hAnsi="Verdana" w:cs="Arial"/>
          <w:color w:val="252525"/>
          <w:lang w:eastAsia="hu-HU"/>
        </w:rPr>
        <w:t xml:space="preserve"> </w:t>
      </w:r>
      <w:hyperlink r:id="rId33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tüdődaganatok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felismerése érdekében, különösen dohányzók esetében. A szűrőmódszer nem alkalmas a korai tüdődaganat kimutatására, ezért fokozott kockázat esetén alacsony sugárdózisú CT-vizsgálat javasolt.</w:t>
      </w:r>
    </w:p>
    <w:p w14:paraId="591E666D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outlineLvl w:val="1"/>
        <w:rPr>
          <w:rFonts w:ascii="Verdana" w:eastAsia="Times New Roman" w:hAnsi="Verdana" w:cs="Arial"/>
          <w:color w:val="001356"/>
          <w:lang w:eastAsia="hu-HU"/>
        </w:rPr>
      </w:pPr>
      <w:r w:rsidRPr="00BB3F90">
        <w:rPr>
          <w:rFonts w:ascii="Verdana" w:eastAsia="Times New Roman" w:hAnsi="Verdana" w:cs="Arial"/>
          <w:color w:val="001356"/>
          <w:lang w:eastAsia="hu-HU"/>
        </w:rPr>
        <w:t>Szemészeti szűrővizsgálat</w:t>
      </w:r>
    </w:p>
    <w:p w14:paraId="7E4C417B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A rendszeres </w:t>
      </w:r>
      <w:hyperlink r:id="rId34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szemvizsgálat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és szűrés panaszmentesség fennállása esetén is javasolt, mert fényt deríthet olyan elváltozásokra, amelyek majd csak később okoznak problémát (például </w:t>
      </w:r>
      <w:hyperlink r:id="rId35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cukorbetegség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, </w:t>
      </w:r>
      <w:hyperlink r:id="rId36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magas vérnyomás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 xml:space="preserve">). A szűrés </w:t>
      </w:r>
      <w:r w:rsidRPr="00BB3F90">
        <w:rPr>
          <w:rFonts w:ascii="Verdana" w:eastAsia="Times New Roman" w:hAnsi="Verdana" w:cs="Arial"/>
          <w:color w:val="252525"/>
          <w:lang w:eastAsia="hu-HU"/>
        </w:rPr>
        <w:lastRenderedPageBreak/>
        <w:t>látásélesség-vizsgálatból, színlátásvizsgálatból és mikroszkópos szemvizsgálatból áll. </w:t>
      </w:r>
    </w:p>
    <w:p w14:paraId="4E78FC60" w14:textId="77777777" w:rsidR="00B41714" w:rsidRPr="00BB3F90" w:rsidRDefault="00B41714" w:rsidP="00BB3F90">
      <w:p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Egyéb javasolt vizsgálatok 45 év feletti nők esetében:</w:t>
      </w:r>
    </w:p>
    <w:p w14:paraId="1276CFE9" w14:textId="77777777" w:rsidR="00B41714" w:rsidRPr="00BB3F90" w:rsidRDefault="00B41714" w:rsidP="00BB3F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pajzsmirigy-ultrahangvizsgálat;</w:t>
      </w:r>
    </w:p>
    <w:p w14:paraId="7312D9BC" w14:textId="77777777" w:rsidR="00B41714" w:rsidRPr="00BB3F90" w:rsidRDefault="00B41714" w:rsidP="00BB3F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hasi ultrahangvizsgálat;</w:t>
      </w:r>
    </w:p>
    <w:p w14:paraId="3537F510" w14:textId="77777777" w:rsidR="00B41714" w:rsidRPr="00BB3F90" w:rsidRDefault="00B41714" w:rsidP="00BB3F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kismedencei ultrahangvizsgálat;</w:t>
      </w:r>
    </w:p>
    <w:p w14:paraId="3EC132B7" w14:textId="77777777" w:rsidR="00B41714" w:rsidRPr="00BB3F90" w:rsidRDefault="00B41714" w:rsidP="00BB3F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nyaki erek vizsgálata Doppler-ultrahanggal (</w:t>
      </w:r>
      <w:hyperlink r:id="rId37" w:tgtFrame="_blank" w:history="1">
        <w:r w:rsidRPr="00BB3F90">
          <w:rPr>
            <w:rFonts w:ascii="Verdana" w:eastAsia="Times New Roman" w:hAnsi="Verdana" w:cs="Arial"/>
            <w:color w:val="0345BF"/>
            <w:lang w:eastAsia="hu-HU"/>
          </w:rPr>
          <w:t>érelmeszesedés</w:t>
        </w:r>
      </w:hyperlink>
      <w:r w:rsidRPr="00BB3F90">
        <w:rPr>
          <w:rFonts w:ascii="Verdana" w:eastAsia="Times New Roman" w:hAnsi="Verdana" w:cs="Arial"/>
          <w:color w:val="252525"/>
          <w:lang w:eastAsia="hu-HU"/>
        </w:rPr>
        <w:t> okozta érfali egyenetlenség, szűkület felderítésére);</w:t>
      </w:r>
    </w:p>
    <w:p w14:paraId="14C37066" w14:textId="77777777" w:rsidR="00B41714" w:rsidRPr="00BB3F90" w:rsidRDefault="00B41714" w:rsidP="00BB3F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color w:val="252525"/>
          <w:lang w:eastAsia="hu-HU"/>
        </w:rPr>
        <w:t>tumormarkerek vizsgálata daganat gyanúja esetén.</w:t>
      </w:r>
    </w:p>
    <w:p w14:paraId="28BBAB55" w14:textId="1910B3DD" w:rsidR="00B41714" w:rsidRPr="00BB3F90" w:rsidRDefault="00B41714" w:rsidP="00BB3F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</w:p>
    <w:p w14:paraId="42A8B126" w14:textId="77777777" w:rsidR="00B41714" w:rsidRPr="00BB3F90" w:rsidRDefault="00B41714" w:rsidP="00BB3F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r w:rsidRPr="00BB3F90">
        <w:rPr>
          <w:rFonts w:ascii="Verdana" w:eastAsia="Times New Roman" w:hAnsi="Verdana" w:cs="Arial"/>
          <w:b/>
          <w:bCs/>
          <w:color w:val="252525"/>
          <w:lang w:eastAsia="hu-HU"/>
        </w:rPr>
        <w:t>Ajánlott tartalmak:</w:t>
      </w:r>
    </w:p>
    <w:p w14:paraId="06E48BD1" w14:textId="77777777" w:rsidR="00BB3F90" w:rsidRDefault="00000000" w:rsidP="00BB3F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345BF"/>
          <w:lang w:eastAsia="hu-HU"/>
        </w:rPr>
      </w:pPr>
      <w:hyperlink r:id="rId38" w:tgtFrame="_blank" w:history="1">
        <w:r w:rsidR="00B41714" w:rsidRPr="00BB3F90">
          <w:rPr>
            <w:rFonts w:ascii="Verdana" w:eastAsia="Times New Roman" w:hAnsi="Verdana" w:cs="Arial"/>
            <w:color w:val="0345BF"/>
            <w:lang w:eastAsia="hu-HU"/>
          </w:rPr>
          <w:t>Szervezett szűrések</w:t>
        </w:r>
      </w:hyperlink>
    </w:p>
    <w:p w14:paraId="60C22E82" w14:textId="77777777" w:rsidR="00BB3F90" w:rsidRDefault="00000000" w:rsidP="00BB3F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0345BF"/>
          <w:lang w:eastAsia="hu-HU"/>
        </w:rPr>
      </w:pPr>
      <w:hyperlink r:id="rId39" w:tgtFrame="_blank" w:history="1">
        <w:r w:rsidR="00B41714" w:rsidRPr="00BB3F90">
          <w:rPr>
            <w:rFonts w:ascii="Verdana" w:eastAsia="Times New Roman" w:hAnsi="Verdana" w:cs="Arial"/>
            <w:color w:val="0345BF"/>
            <w:lang w:eastAsia="hu-HU"/>
          </w:rPr>
          <w:t>Mammográfia: tények és tévhitek</w:t>
        </w:r>
      </w:hyperlink>
    </w:p>
    <w:p w14:paraId="5CA0CD67" w14:textId="5B1C1E45" w:rsidR="00B41714" w:rsidRPr="00BB3F90" w:rsidRDefault="00000000" w:rsidP="00BB3F90">
      <w:p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40" w:tgtFrame="_blank" w:history="1">
        <w:r w:rsidR="00B41714" w:rsidRPr="00BB3F90">
          <w:rPr>
            <w:rFonts w:ascii="Verdana" w:eastAsia="Times New Roman" w:hAnsi="Verdana" w:cs="Arial"/>
            <w:color w:val="0345BF"/>
            <w:lang w:eastAsia="hu-HU"/>
          </w:rPr>
          <w:t>Az idő életet menthet</w:t>
        </w:r>
      </w:hyperlink>
    </w:p>
    <w:p w14:paraId="0EE96BD4" w14:textId="77777777" w:rsidR="00B41714" w:rsidRPr="00BB3F90" w:rsidRDefault="00000000" w:rsidP="00BB3F9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41" w:history="1">
        <w:r w:rsidR="00B41714" w:rsidRPr="00BB3F90">
          <w:rPr>
            <w:rFonts w:ascii="Verdana" w:eastAsia="Times New Roman" w:hAnsi="Verdana" w:cs="Arial"/>
            <w:color w:val="0345BF"/>
            <w:lang w:eastAsia="hu-HU"/>
          </w:rPr>
          <w:t> Szűrővizsgálatok</w:t>
        </w:r>
      </w:hyperlink>
    </w:p>
    <w:p w14:paraId="2BDA6069" w14:textId="77777777" w:rsidR="00B41714" w:rsidRPr="00BB3F90" w:rsidRDefault="00000000" w:rsidP="00BB3F90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Verdana" w:eastAsia="Times New Roman" w:hAnsi="Verdana" w:cs="Arial"/>
          <w:color w:val="252525"/>
          <w:lang w:eastAsia="hu-HU"/>
        </w:rPr>
      </w:pPr>
      <w:hyperlink r:id="rId42" w:history="1">
        <w:r w:rsidR="00B41714" w:rsidRPr="00BB3F90">
          <w:rPr>
            <w:rFonts w:ascii="Verdana" w:eastAsia="Times New Roman" w:hAnsi="Verdana" w:cs="Arial"/>
            <w:color w:val="0345BF"/>
            <w:lang w:eastAsia="hu-HU"/>
          </w:rPr>
          <w:t> Életmód nőknek</w:t>
        </w:r>
      </w:hyperlink>
    </w:p>
    <w:p w14:paraId="73B15F0D" w14:textId="77777777" w:rsidR="007E1BD8" w:rsidRPr="00BB3F90" w:rsidRDefault="007E1BD8" w:rsidP="00BB3F90">
      <w:pPr>
        <w:spacing w:after="0" w:line="240" w:lineRule="auto"/>
        <w:jc w:val="both"/>
        <w:rPr>
          <w:rFonts w:ascii="Verdana" w:hAnsi="Verdana"/>
        </w:rPr>
      </w:pPr>
    </w:p>
    <w:sectPr w:rsidR="007E1BD8" w:rsidRPr="00BB3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A333E2"/>
    <w:multiLevelType w:val="multilevel"/>
    <w:tmpl w:val="25929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59A55A0"/>
    <w:multiLevelType w:val="multilevel"/>
    <w:tmpl w:val="641E6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00976316">
    <w:abstractNumId w:val="1"/>
  </w:num>
  <w:num w:numId="2" w16cid:durableId="1383485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714"/>
    <w:rsid w:val="00195C5C"/>
    <w:rsid w:val="007E1BD8"/>
    <w:rsid w:val="00B41714"/>
    <w:rsid w:val="00BB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D8B8D"/>
  <w15:chartTrackingRefBased/>
  <w15:docId w15:val="{ABC16CAA-3B02-4848-B8FE-8635BFE03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geszsegvonal.gov.hu/gyogyszerek-a-z/c-cs/ct-vizsgalat.html" TargetMode="External"/><Relationship Id="rId18" Type="http://schemas.openxmlformats.org/officeDocument/2006/relationships/hyperlink" Target="https://egeszsegvonal.gov.hu/k/1164-koffein.html" TargetMode="External"/><Relationship Id="rId26" Type="http://schemas.openxmlformats.org/officeDocument/2006/relationships/hyperlink" Target="https://egeszsegvonal.gov.hu/egeszseg-a-z/t-ty/tulsuly-es-elhizas.html" TargetMode="External"/><Relationship Id="rId39" Type="http://schemas.openxmlformats.org/officeDocument/2006/relationships/hyperlink" Target="https://egeszsegvonal.gov.hu/gyogyszerek-a-z/m/mammografia-tenyek-es-tevhitek.html" TargetMode="External"/><Relationship Id="rId21" Type="http://schemas.openxmlformats.org/officeDocument/2006/relationships/hyperlink" Target="https://egeszsegvonal.gov.hu/gyogyszerek-a-z/a-a/anyajegyek.html" TargetMode="External"/><Relationship Id="rId34" Type="http://schemas.openxmlformats.org/officeDocument/2006/relationships/hyperlink" Target="https://egeszsegvonal.gov.hu/egeszseg-a-z/s-sz/szemeszeti-vizsgalatok.html" TargetMode="External"/><Relationship Id="rId42" Type="http://schemas.openxmlformats.org/officeDocument/2006/relationships/hyperlink" Target="https://egeszsegvonal.gov.hu/noi-egeszseg/eletmod-noknek.html" TargetMode="External"/><Relationship Id="rId7" Type="http://schemas.openxmlformats.org/officeDocument/2006/relationships/hyperlink" Target="https://egeszsegvonal.gov.hu/gyogyszerek-a-z/u-u/ultrahangvizsgalat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egeszsegvonal.gov.hu/gyogyszerek-a-z/c-cs/csontritkulas-osteoporosis.html" TargetMode="External"/><Relationship Id="rId20" Type="http://schemas.openxmlformats.org/officeDocument/2006/relationships/hyperlink" Target="https://egeszsegvonal.gov.hu/gyogyszerek-a-z/b/bordaganatok.html" TargetMode="External"/><Relationship Id="rId29" Type="http://schemas.openxmlformats.org/officeDocument/2006/relationships/hyperlink" Target="https://egeszsegvonal.gov.hu/k/467-koleszterin.html" TargetMode="External"/><Relationship Id="rId41" Type="http://schemas.openxmlformats.org/officeDocument/2006/relationships/hyperlink" Target="https://egeszsegvonal.gov.hu/maradj-egeszseges/szurovizsgalatok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geszsegvonal.gov.hu/gyogyszerek-a-z/m/mammografia-tenyek-es-tevhitek.html" TargetMode="External"/><Relationship Id="rId11" Type="http://schemas.openxmlformats.org/officeDocument/2006/relationships/hyperlink" Target="https://egeszsegvonal.gov.hu/maradj-egeszseges/szurovizsgalatok/vastagbelszures.html" TargetMode="External"/><Relationship Id="rId24" Type="http://schemas.openxmlformats.org/officeDocument/2006/relationships/hyperlink" Target="https://egeszsegvonal.gov.hu/v-w/1412-vizeletvizsgalatok.html" TargetMode="External"/><Relationship Id="rId32" Type="http://schemas.openxmlformats.org/officeDocument/2006/relationships/hyperlink" Target="https://egeszsegvonal.gov.hu/maradj-egeszseges/tudoszures.html" TargetMode="External"/><Relationship Id="rId37" Type="http://schemas.openxmlformats.org/officeDocument/2006/relationships/hyperlink" Target="https://egeszsegvonal.gov.hu/gyogyszerek-a-z/a-a/arteriosclerosis-erelmeszesedes.html" TargetMode="External"/><Relationship Id="rId40" Type="http://schemas.openxmlformats.org/officeDocument/2006/relationships/hyperlink" Target="https://egeszsegvonal.gov.hu/interjuk/az-ido-eletet-menthet.html" TargetMode="External"/><Relationship Id="rId5" Type="http://schemas.openxmlformats.org/officeDocument/2006/relationships/hyperlink" Target="https://egeszsegvonal.gov.hu/egeszseg-a-z/e-e/emlorak.html" TargetMode="External"/><Relationship Id="rId15" Type="http://schemas.openxmlformats.org/officeDocument/2006/relationships/hyperlink" Target="https://egeszsegvonal.gov.hu/gyogyszerek-a-z/m/menopauza.html" TargetMode="External"/><Relationship Id="rId23" Type="http://schemas.openxmlformats.org/officeDocument/2006/relationships/hyperlink" Target="https://egeszsegvonal.gov.hu/v-w/1419-vervizsgalatok.html" TargetMode="External"/><Relationship Id="rId28" Type="http://schemas.openxmlformats.org/officeDocument/2006/relationships/hyperlink" Target="https://egeszsegvonal.gov.hu/m/625-magasvernyomas.html" TargetMode="External"/><Relationship Id="rId36" Type="http://schemas.openxmlformats.org/officeDocument/2006/relationships/hyperlink" Target="https://egeszsegvonal.gov.hu/gyogyszerek-a-z/m/magasvernyomas.html" TargetMode="External"/><Relationship Id="rId10" Type="http://schemas.openxmlformats.org/officeDocument/2006/relationships/hyperlink" Target="https://egeszsegvonal.gov.hu/egeszseg-a-z/h/human-papillomavirusok.html" TargetMode="External"/><Relationship Id="rId19" Type="http://schemas.openxmlformats.org/officeDocument/2006/relationships/hyperlink" Target="https://egeszsegvonal.gov.hu/gyogyszerek-a-z/c-cs/cukorbetegseg-diabetesz.html" TargetMode="External"/><Relationship Id="rId31" Type="http://schemas.openxmlformats.org/officeDocument/2006/relationships/hyperlink" Target="https://egeszsegvonal.gov.hu/e-e/246-ekg-elektrokardiografia.html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egeszsegvonal.gov.hu/egeszseg-a-z/m/mehnyakszures.html" TargetMode="External"/><Relationship Id="rId14" Type="http://schemas.openxmlformats.org/officeDocument/2006/relationships/hyperlink" Target="https://egeszsegvonal.gov.hu/gyogyszerek-a-z/c-cs/csontsurusegmeres.html" TargetMode="External"/><Relationship Id="rId22" Type="http://schemas.openxmlformats.org/officeDocument/2006/relationships/hyperlink" Target="https://egeszsegvonal.gov.hu/n-ny/1477-napeges-es-fenyvedelem.html" TargetMode="External"/><Relationship Id="rId27" Type="http://schemas.openxmlformats.org/officeDocument/2006/relationships/hyperlink" Target="https://egeszsegvonal.gov.hu/maradj-egeszseges/dohanyzas.html" TargetMode="External"/><Relationship Id="rId30" Type="http://schemas.openxmlformats.org/officeDocument/2006/relationships/hyperlink" Target="https://egeszsegvonal.gov.hu/egeszseg-a-z/u-u/ulo-eletmod-veszelyei.html" TargetMode="External"/><Relationship Id="rId35" Type="http://schemas.openxmlformats.org/officeDocument/2006/relationships/hyperlink" Target="https://egeszsegvonal.gov.hu/egeszseg-a-z/c-cs/cukorbetegseg-diabetesz.html" TargetMode="External"/><Relationship Id="rId43" Type="http://schemas.openxmlformats.org/officeDocument/2006/relationships/fontTable" Target="fontTable.xml"/><Relationship Id="rId8" Type="http://schemas.openxmlformats.org/officeDocument/2006/relationships/hyperlink" Target="https://egeszsegvonal.gov.hu/egeszseg-a-z/m/mehnyakrak.html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egeszsegvonal.gov.hu/gyogyszerek-a-z/v-w/vastagbeltukrozes-kolonoszkopia.html" TargetMode="External"/><Relationship Id="rId17" Type="http://schemas.openxmlformats.org/officeDocument/2006/relationships/hyperlink" Target="https://egeszsegvonal.gov.hu/maradj-egeszseges/dohanyzas.html" TargetMode="External"/><Relationship Id="rId25" Type="http://schemas.openxmlformats.org/officeDocument/2006/relationships/hyperlink" Target="https://egeszsegvonal.gov.hu/s-sz/962-szivmukodes.html" TargetMode="External"/><Relationship Id="rId33" Type="http://schemas.openxmlformats.org/officeDocument/2006/relationships/hyperlink" Target="https://egeszsegvonal.gov.hu/t-ty/1418-tudodaganatok.html" TargetMode="External"/><Relationship Id="rId38" Type="http://schemas.openxmlformats.org/officeDocument/2006/relationships/hyperlink" Target="https://egeszsegvonal.gov.hu/maradj-egeszseges/szurovizsgalatok/szervezett-szuresek.html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1369</Words>
  <Characters>9451</Characters>
  <Application>Microsoft Office Word</Application>
  <DocSecurity>0</DocSecurity>
  <Lines>78</Lines>
  <Paragraphs>21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Benkó Erzsébet</dc:creator>
  <cp:keywords/>
  <dc:description/>
  <cp:lastModifiedBy>Éva</cp:lastModifiedBy>
  <cp:revision>2</cp:revision>
  <dcterms:created xsi:type="dcterms:W3CDTF">2026-09-12T08:50:00Z</dcterms:created>
  <dcterms:modified xsi:type="dcterms:W3CDTF">2026-09-12T08:50:00Z</dcterms:modified>
</cp:coreProperties>
</file>